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2019</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ind w:left="4700" w:right="1719" w:hanging="4700"/>
        <w:spacing w:after="0" w:line="233" w:lineRule="exact"/>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18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35"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18,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280" w:type="dxa"/>
            <w:vAlign w:val="bottom"/>
          </w:tcPr>
          <w:p>
            <w:pPr>
              <w:ind w:left="5720"/>
              <w:spacing w:after="0" w:line="195" w:lineRule="exact"/>
              <w:rPr>
                <w:sz w:val="20"/>
                <w:szCs w:val="20"/>
                <w:color w:val="auto"/>
              </w:rPr>
            </w:pPr>
            <w:r>
              <w:rPr>
                <w:rFonts w:ascii="Arial" w:cs="Arial" w:eastAsia="Arial" w:hAnsi="Arial"/>
                <w:sz w:val="18"/>
                <w:szCs w:val="18"/>
                <w:color w:val="auto"/>
              </w:rPr>
              <w:t>Name:</w:t>
            </w: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280" w:type="dxa"/>
            <w:vAlign w:val="bottom"/>
          </w:tcPr>
          <w:p>
            <w:pPr>
              <w:ind w:left="5720"/>
              <w:spacing w:after="0"/>
              <w:rPr>
                <w:sz w:val="20"/>
                <w:szCs w:val="20"/>
                <w:color w:val="auto"/>
              </w:rPr>
            </w:pPr>
            <w:r>
              <w:rPr>
                <w:rFonts w:ascii="Arial" w:cs="Arial" w:eastAsia="Arial" w:hAnsi="Arial"/>
                <w:sz w:val="18"/>
                <w:szCs w:val="18"/>
                <w:color w:val="auto"/>
              </w:rPr>
              <w:t>Title:</w:t>
            </w:r>
          </w:p>
        </w:tc>
        <w:tc>
          <w:tcPr>
            <w:tcW w:w="51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28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2696210</wp:posOffset>
            </wp:positionH>
            <wp:positionV relativeFrom="page">
              <wp:posOffset>586105</wp:posOffset>
            </wp:positionV>
            <wp:extent cx="2143760" cy="8661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2143760" cy="8661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FOR THIRD QUARTER 2019</w:t>
      </w:r>
    </w:p>
    <w:p>
      <w:pPr>
        <w:spacing w:after="0" w:line="207"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October 18, 2019 </w:t>
      </w:r>
      <w:r>
        <w:rPr>
          <w:rFonts w:ascii="Arial" w:cs="Arial" w:eastAsia="Arial" w:hAnsi="Arial"/>
          <w:sz w:val="18"/>
          <w:szCs w:val="18"/>
          <w:color w:val="auto"/>
        </w:rPr>
        <w:t>- Banco Latinoamericano de Comercio Exterior, S.A. (“Bladex” or the “Bank”), announced today its</w:t>
      </w:r>
      <w:r>
        <w:rPr>
          <w:rFonts w:ascii="Arial" w:cs="Arial" w:eastAsia="Arial" w:hAnsi="Arial"/>
          <w:sz w:val="18"/>
          <w:szCs w:val="18"/>
          <w:b w:val="1"/>
          <w:bCs w:val="1"/>
          <w:color w:val="auto"/>
        </w:rPr>
        <w:t xml:space="preserve"> </w:t>
      </w:r>
      <w:r>
        <w:rPr>
          <w:rFonts w:ascii="Arial" w:cs="Arial" w:eastAsia="Arial" w:hAnsi="Arial"/>
          <w:sz w:val="18"/>
          <w:szCs w:val="18"/>
          <w:color w:val="auto"/>
        </w:rPr>
        <w:t>Board of Directors’ approval of a quarterly cash dividend of US$0.385 per share corresponding to the third quarter 2019.</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The cash dividend is payable November 19, 2019 to the Bank’s stockholders as of October 29, 2019 record date.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2019, Bladex had 39,602,277.73 shares outstanding of all classes.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5873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0430" cy="587375"/>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2020-01-09T03:34:07Z</dcterms:created>
  <dcterms:modified xsi:type="dcterms:W3CDTF">2020-01-09T03:34:07Z</dcterms:modified>
</cp:coreProperties>
</file>